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ECBD7" w14:textId="79E8918A" w:rsidR="00846F18" w:rsidRDefault="00363DF9" w:rsidP="00820F47">
      <w:pPr>
        <w:jc w:val="center"/>
        <w:rPr>
          <w:rFonts w:asciiTheme="majorHAnsi" w:eastAsiaTheme="majorEastAsia" w:hAnsiTheme="majorHAnsi" w:cstheme="majorBidi"/>
          <w:b/>
          <w:color w:val="2F5496" w:themeColor="accent1" w:themeShade="BF"/>
          <w:sz w:val="36"/>
          <w:szCs w:val="36"/>
        </w:rPr>
      </w:pPr>
      <w:r w:rsidRPr="00363DF9">
        <w:rPr>
          <w:rFonts w:asciiTheme="majorHAnsi" w:eastAsiaTheme="majorEastAsia" w:hAnsiTheme="majorHAnsi" w:cstheme="majorBidi"/>
          <w:b/>
          <w:color w:val="2F5496" w:themeColor="accent1" w:themeShade="BF"/>
          <w:sz w:val="36"/>
          <w:szCs w:val="36"/>
        </w:rPr>
        <w:t>Kurs Umowy B2B bez ryzyka - nowe uprawnienia PIP w</w:t>
      </w:r>
      <w:r>
        <w:rPr>
          <w:rFonts w:asciiTheme="majorHAnsi" w:eastAsiaTheme="majorEastAsia" w:hAnsiTheme="majorHAnsi" w:cstheme="majorBidi"/>
          <w:b/>
          <w:color w:val="2F5496" w:themeColor="accent1" w:themeShade="BF"/>
          <w:sz w:val="36"/>
          <w:szCs w:val="36"/>
        </w:rPr>
        <w:t> </w:t>
      </w:r>
      <w:r w:rsidRPr="00363DF9">
        <w:rPr>
          <w:rFonts w:asciiTheme="majorHAnsi" w:eastAsiaTheme="majorEastAsia" w:hAnsiTheme="majorHAnsi" w:cstheme="majorBidi"/>
          <w:b/>
          <w:color w:val="2F5496" w:themeColor="accent1" w:themeShade="BF"/>
          <w:sz w:val="36"/>
          <w:szCs w:val="36"/>
        </w:rPr>
        <w:t>praktyce</w:t>
      </w:r>
    </w:p>
    <w:p w14:paraId="26CB89ED" w14:textId="77777777" w:rsidR="00820F47" w:rsidRDefault="00820F47" w:rsidP="00820F47">
      <w:pPr>
        <w:jc w:val="center"/>
        <w:rPr>
          <w:rFonts w:ascii="Times New Roman" w:hAnsi="Times New Roman" w:cs="Times New Roman"/>
          <w:b/>
        </w:rPr>
      </w:pPr>
    </w:p>
    <w:p w14:paraId="4D318E97" w14:textId="77777777" w:rsidR="004F5B6B" w:rsidRPr="001213F3" w:rsidRDefault="004F5B6B" w:rsidP="004F5B6B">
      <w:pPr>
        <w:rPr>
          <w:rFonts w:ascii="Times New Roman" w:hAnsi="Times New Roman" w:cs="Times New Roman"/>
          <w:b/>
        </w:rPr>
      </w:pPr>
    </w:p>
    <w:p w14:paraId="01380FCD" w14:textId="5CC4CBCB" w:rsidR="004F5B6B" w:rsidRDefault="00363DF9" w:rsidP="002E4770">
      <w:pPr>
        <w:pStyle w:val="Akapitzlist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363DF9">
        <w:rPr>
          <w:rFonts w:ascii="Times New Roman" w:hAnsi="Times New Roman" w:cs="Times New Roman"/>
          <w:b/>
          <w:bCs/>
        </w:rPr>
        <w:t>Nowa rzeczywistość prawna – co zmieniają nowe uprawnienia PIP</w:t>
      </w:r>
    </w:p>
    <w:p w14:paraId="071ABAD0" w14:textId="77777777" w:rsidR="00846F18" w:rsidRPr="00846F18" w:rsidRDefault="00846F18" w:rsidP="00846F18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6E5511FE" w14:textId="77777777" w:rsidR="00363DF9" w:rsidRPr="00363DF9" w:rsidRDefault="00363DF9" w:rsidP="00363DF9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i/>
        </w:rPr>
      </w:pPr>
      <w:r w:rsidRPr="00363DF9">
        <w:rPr>
          <w:rFonts w:ascii="Times New Roman" w:hAnsi="Times New Roman" w:cs="Times New Roman"/>
          <w:i/>
        </w:rPr>
        <w:t>Decyzja nakazowa PIP: Jak w praktyce wygląda (lub będzie wyglądać) wydawanie decyzji o istnieniu stosunku pracy przez inspektora.</w:t>
      </w:r>
    </w:p>
    <w:p w14:paraId="50A032AF" w14:textId="77777777" w:rsidR="00363DF9" w:rsidRPr="00363DF9" w:rsidRDefault="00363DF9" w:rsidP="00363DF9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i/>
        </w:rPr>
      </w:pPr>
      <w:r w:rsidRPr="00363DF9">
        <w:rPr>
          <w:rFonts w:ascii="Times New Roman" w:hAnsi="Times New Roman" w:cs="Times New Roman"/>
          <w:i/>
        </w:rPr>
        <w:t xml:space="preserve">Skutki finansowe i prawne </w:t>
      </w:r>
      <w:proofErr w:type="spellStart"/>
      <w:r w:rsidRPr="00363DF9">
        <w:rPr>
          <w:rFonts w:ascii="Times New Roman" w:hAnsi="Times New Roman" w:cs="Times New Roman"/>
          <w:i/>
        </w:rPr>
        <w:t>rekwalifikacji</w:t>
      </w:r>
      <w:proofErr w:type="spellEnd"/>
      <w:r w:rsidRPr="00363DF9">
        <w:rPr>
          <w:rFonts w:ascii="Times New Roman" w:hAnsi="Times New Roman" w:cs="Times New Roman"/>
          <w:i/>
        </w:rPr>
        <w:t xml:space="preserve"> B2B na </w:t>
      </w:r>
      <w:proofErr w:type="spellStart"/>
      <w:r w:rsidRPr="00363DF9">
        <w:rPr>
          <w:rFonts w:ascii="Times New Roman" w:hAnsi="Times New Roman" w:cs="Times New Roman"/>
          <w:i/>
        </w:rPr>
        <w:t>UoP</w:t>
      </w:r>
      <w:proofErr w:type="spellEnd"/>
      <w:r w:rsidRPr="00363DF9">
        <w:rPr>
          <w:rFonts w:ascii="Times New Roman" w:hAnsi="Times New Roman" w:cs="Times New Roman"/>
          <w:i/>
        </w:rPr>
        <w:t>: zaległe składki ZUS i zaliczki na PIT (kto za co płaci i czy można żądać zwrotu od kontrahenta?), zaległe urlopy, nadgodziny i uprawnienia pracownicze wstecz.</w:t>
      </w:r>
    </w:p>
    <w:p w14:paraId="132184B9" w14:textId="2CC555B1" w:rsidR="007304AC" w:rsidRPr="007304AC" w:rsidRDefault="00363DF9" w:rsidP="00363DF9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i/>
        </w:rPr>
      </w:pPr>
      <w:r w:rsidRPr="00363DF9">
        <w:rPr>
          <w:rFonts w:ascii="Times New Roman" w:hAnsi="Times New Roman" w:cs="Times New Roman"/>
          <w:i/>
        </w:rPr>
        <w:t>Statystyki i priorytety kontrolne PIP: Na jakie branże i modele współpracy inspektorzy patrzą w pierwszej kolejności?</w:t>
      </w:r>
    </w:p>
    <w:p w14:paraId="2AF0E95E" w14:textId="77777777" w:rsidR="00E0262E" w:rsidRPr="00227440" w:rsidRDefault="00E0262E" w:rsidP="00846F18">
      <w:pPr>
        <w:pStyle w:val="Akapitzlist"/>
        <w:spacing w:line="276" w:lineRule="auto"/>
        <w:ind w:left="1070"/>
        <w:jc w:val="both"/>
        <w:rPr>
          <w:rFonts w:ascii="Times New Roman" w:hAnsi="Times New Roman" w:cs="Times New Roman"/>
          <w:i/>
        </w:rPr>
      </w:pPr>
    </w:p>
    <w:p w14:paraId="5E525CE7" w14:textId="5C0D005D" w:rsidR="004F5B6B" w:rsidRDefault="00363DF9" w:rsidP="00846F18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363DF9">
        <w:rPr>
          <w:rFonts w:ascii="Times New Roman" w:hAnsi="Times New Roman" w:cs="Times New Roman"/>
          <w:b/>
          <w:bCs/>
        </w:rPr>
        <w:t>Warunki uznania B2B za umowę o pracę</w:t>
      </w:r>
      <w:r w:rsidR="00E94B28">
        <w:rPr>
          <w:rFonts w:ascii="Times New Roman" w:hAnsi="Times New Roman" w:cs="Times New Roman"/>
          <w:b/>
          <w:bCs/>
        </w:rPr>
        <w:t xml:space="preserve"> </w:t>
      </w:r>
    </w:p>
    <w:p w14:paraId="20F97401" w14:textId="77777777" w:rsidR="00846F18" w:rsidRPr="00846F18" w:rsidRDefault="00846F18" w:rsidP="00846F18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73D7BA34" w14:textId="77777777" w:rsidR="00363DF9" w:rsidRPr="00363DF9" w:rsidRDefault="00363DF9" w:rsidP="00363DF9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363DF9">
        <w:rPr>
          <w:rFonts w:ascii="Times New Roman" w:eastAsia="Times New Roman" w:hAnsi="Times New Roman" w:cs="Times New Roman"/>
          <w:i/>
          <w:lang w:eastAsia="pl-PL"/>
        </w:rPr>
        <w:t>Anatomia stosunku pracy (art. 22 KP) w oczach inspektora:</w:t>
      </w:r>
    </w:p>
    <w:p w14:paraId="360F450B" w14:textId="77777777" w:rsidR="00363DF9" w:rsidRPr="00363DF9" w:rsidRDefault="00363DF9" w:rsidP="00363DF9">
      <w:pPr>
        <w:pStyle w:val="Akapitzlist"/>
        <w:numPr>
          <w:ilvl w:val="1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363DF9">
        <w:rPr>
          <w:rFonts w:ascii="Times New Roman" w:eastAsia="Times New Roman" w:hAnsi="Times New Roman" w:cs="Times New Roman"/>
          <w:i/>
          <w:lang w:eastAsia="pl-PL"/>
        </w:rPr>
        <w:t>Kierownictwo i podporządkowanie – różnica między wytycznymi projektu a poleceniem służbowym.</w:t>
      </w:r>
    </w:p>
    <w:p w14:paraId="02D87D0F" w14:textId="77777777" w:rsidR="00363DF9" w:rsidRPr="00363DF9" w:rsidRDefault="00363DF9" w:rsidP="00363DF9">
      <w:pPr>
        <w:pStyle w:val="Akapitzlist"/>
        <w:numPr>
          <w:ilvl w:val="1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363DF9">
        <w:rPr>
          <w:rFonts w:ascii="Times New Roman" w:eastAsia="Times New Roman" w:hAnsi="Times New Roman" w:cs="Times New Roman"/>
          <w:i/>
          <w:lang w:eastAsia="pl-PL"/>
        </w:rPr>
        <w:t>Czas i miejsce – stałe godziny pracy, praca w siedzibie firmy a swoboda wykonawcy.</w:t>
      </w:r>
    </w:p>
    <w:p w14:paraId="4642558E" w14:textId="77777777" w:rsidR="00363DF9" w:rsidRPr="00363DF9" w:rsidRDefault="00363DF9" w:rsidP="00363DF9">
      <w:pPr>
        <w:pStyle w:val="Akapitzlist"/>
        <w:numPr>
          <w:ilvl w:val="1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363DF9">
        <w:rPr>
          <w:rFonts w:ascii="Times New Roman" w:eastAsia="Times New Roman" w:hAnsi="Times New Roman" w:cs="Times New Roman"/>
          <w:i/>
          <w:lang w:eastAsia="pl-PL"/>
        </w:rPr>
        <w:t>Osobiste świadczenie pracy – klauzula zastępstwa w praktyce (fikcja czy realne uprawnienie?).</w:t>
      </w:r>
    </w:p>
    <w:p w14:paraId="79D90FC3" w14:textId="77777777" w:rsidR="00363DF9" w:rsidRPr="00363DF9" w:rsidRDefault="00363DF9" w:rsidP="00363DF9">
      <w:pPr>
        <w:pStyle w:val="Akapitzlist"/>
        <w:numPr>
          <w:ilvl w:val="1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363DF9">
        <w:rPr>
          <w:rFonts w:ascii="Times New Roman" w:eastAsia="Times New Roman" w:hAnsi="Times New Roman" w:cs="Times New Roman"/>
          <w:i/>
          <w:lang w:eastAsia="pl-PL"/>
        </w:rPr>
        <w:t>Płatny urlop i zwolnienia – jak „płatne dni wolne” niszczą B2B.</w:t>
      </w:r>
    </w:p>
    <w:p w14:paraId="37EA65D3" w14:textId="58BD065D" w:rsidR="007304AC" w:rsidRDefault="00363DF9" w:rsidP="00363DF9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363DF9">
        <w:rPr>
          <w:rFonts w:ascii="Times New Roman" w:eastAsia="Times New Roman" w:hAnsi="Times New Roman" w:cs="Times New Roman"/>
          <w:i/>
          <w:lang w:eastAsia="pl-PL"/>
        </w:rPr>
        <w:t xml:space="preserve">Narzędzia pracy i </w:t>
      </w:r>
      <w:proofErr w:type="spellStart"/>
      <w:r w:rsidRPr="00363DF9">
        <w:rPr>
          <w:rFonts w:ascii="Times New Roman" w:eastAsia="Times New Roman" w:hAnsi="Times New Roman" w:cs="Times New Roman"/>
          <w:i/>
          <w:lang w:eastAsia="pl-PL"/>
        </w:rPr>
        <w:t>rebrandowanie</w:t>
      </w:r>
      <w:proofErr w:type="spellEnd"/>
      <w:r w:rsidRPr="00363DF9">
        <w:rPr>
          <w:rFonts w:ascii="Times New Roman" w:eastAsia="Times New Roman" w:hAnsi="Times New Roman" w:cs="Times New Roman"/>
          <w:i/>
          <w:lang w:eastAsia="pl-PL"/>
        </w:rPr>
        <w:t xml:space="preserve"> kontrahenta: Laptop, e-mail w domenie firmy, karta do biura, stopka e-mailowa – gdzie leży granica?</w:t>
      </w:r>
    </w:p>
    <w:p w14:paraId="1805FF93" w14:textId="77777777" w:rsidR="00820F47" w:rsidRDefault="00820F47" w:rsidP="00820F47">
      <w:pPr>
        <w:spacing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74649308" w14:textId="1E0CFCD2" w:rsidR="00820F47" w:rsidRDefault="00363DF9" w:rsidP="00820F47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363DF9">
        <w:rPr>
          <w:rFonts w:ascii="Times New Roman" w:hAnsi="Times New Roman" w:cs="Times New Roman"/>
          <w:b/>
          <w:bCs/>
        </w:rPr>
        <w:t>Konstruowanie „bezpiecznej” umowy B2B (Zapisy i zapisy-pułapki)</w:t>
      </w:r>
      <w:r w:rsidR="00E94B28">
        <w:rPr>
          <w:rFonts w:ascii="Times New Roman" w:hAnsi="Times New Roman" w:cs="Times New Roman"/>
          <w:b/>
          <w:bCs/>
        </w:rPr>
        <w:t xml:space="preserve"> </w:t>
      </w:r>
    </w:p>
    <w:p w14:paraId="00865C9F" w14:textId="77777777" w:rsidR="007304AC" w:rsidRDefault="007304AC" w:rsidP="007304AC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1A328AC6" w14:textId="77777777" w:rsidR="00363DF9" w:rsidRPr="00363DF9" w:rsidRDefault="00363DF9" w:rsidP="00363DF9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i/>
        </w:rPr>
      </w:pPr>
      <w:r w:rsidRPr="00363DF9">
        <w:rPr>
          <w:rFonts w:ascii="Times New Roman" w:hAnsi="Times New Roman" w:cs="Times New Roman"/>
          <w:i/>
        </w:rPr>
        <w:t>Co MUSI znaleźć się w bezpiecznej umowie B2B:</w:t>
      </w:r>
    </w:p>
    <w:p w14:paraId="20027DF6" w14:textId="77777777" w:rsidR="00363DF9" w:rsidRPr="00363DF9" w:rsidRDefault="00363DF9" w:rsidP="00363DF9">
      <w:pPr>
        <w:pStyle w:val="Akapitzlist"/>
        <w:numPr>
          <w:ilvl w:val="1"/>
          <w:numId w:val="2"/>
        </w:numPr>
        <w:spacing w:line="276" w:lineRule="auto"/>
        <w:jc w:val="both"/>
        <w:rPr>
          <w:rFonts w:ascii="Times New Roman" w:hAnsi="Times New Roman" w:cs="Times New Roman"/>
          <w:i/>
        </w:rPr>
      </w:pPr>
      <w:r w:rsidRPr="00363DF9">
        <w:rPr>
          <w:rFonts w:ascii="Times New Roman" w:hAnsi="Times New Roman" w:cs="Times New Roman"/>
          <w:i/>
        </w:rPr>
        <w:t>Precyzyjne określenie rezultatu/zakresu usług (brak „zakresu obowiązków”).</w:t>
      </w:r>
    </w:p>
    <w:p w14:paraId="1AA70A68" w14:textId="77777777" w:rsidR="00363DF9" w:rsidRPr="00363DF9" w:rsidRDefault="00363DF9" w:rsidP="00363DF9">
      <w:pPr>
        <w:pStyle w:val="Akapitzlist"/>
        <w:numPr>
          <w:ilvl w:val="1"/>
          <w:numId w:val="2"/>
        </w:numPr>
        <w:spacing w:line="276" w:lineRule="auto"/>
        <w:jc w:val="both"/>
        <w:rPr>
          <w:rFonts w:ascii="Times New Roman" w:hAnsi="Times New Roman" w:cs="Times New Roman"/>
          <w:i/>
        </w:rPr>
      </w:pPr>
      <w:r w:rsidRPr="00363DF9">
        <w:rPr>
          <w:rFonts w:ascii="Times New Roman" w:hAnsi="Times New Roman" w:cs="Times New Roman"/>
          <w:i/>
        </w:rPr>
        <w:t>Zasady odpowiedzialności materialnej i cywilnej kontrahenta.</w:t>
      </w:r>
    </w:p>
    <w:p w14:paraId="1546E890" w14:textId="77777777" w:rsidR="00363DF9" w:rsidRPr="00363DF9" w:rsidRDefault="00363DF9" w:rsidP="00363DF9">
      <w:pPr>
        <w:pStyle w:val="Akapitzlist"/>
        <w:numPr>
          <w:ilvl w:val="1"/>
          <w:numId w:val="2"/>
        </w:numPr>
        <w:spacing w:line="276" w:lineRule="auto"/>
        <w:jc w:val="both"/>
        <w:rPr>
          <w:rFonts w:ascii="Times New Roman" w:hAnsi="Times New Roman" w:cs="Times New Roman"/>
          <w:i/>
        </w:rPr>
      </w:pPr>
      <w:r w:rsidRPr="00363DF9">
        <w:rPr>
          <w:rFonts w:ascii="Times New Roman" w:hAnsi="Times New Roman" w:cs="Times New Roman"/>
          <w:i/>
        </w:rPr>
        <w:t>Prawidłowa klauzula zastępstwa (podwykonawstwa).</w:t>
      </w:r>
    </w:p>
    <w:p w14:paraId="348A19A2" w14:textId="1A5B7FBE" w:rsidR="00363DF9" w:rsidRPr="00363DF9" w:rsidRDefault="00363DF9" w:rsidP="00363DF9">
      <w:pPr>
        <w:pStyle w:val="Akapitzlist"/>
        <w:numPr>
          <w:ilvl w:val="1"/>
          <w:numId w:val="2"/>
        </w:numPr>
        <w:spacing w:line="276" w:lineRule="auto"/>
        <w:jc w:val="both"/>
        <w:rPr>
          <w:rFonts w:ascii="Times New Roman" w:hAnsi="Times New Roman" w:cs="Times New Roman"/>
          <w:i/>
        </w:rPr>
      </w:pPr>
      <w:r w:rsidRPr="00363DF9">
        <w:rPr>
          <w:rFonts w:ascii="Times New Roman" w:hAnsi="Times New Roman" w:cs="Times New Roman"/>
          <w:i/>
        </w:rPr>
        <w:t>Elastyczność w zakresie czasu i miejsca realizowania zadań.</w:t>
      </w:r>
    </w:p>
    <w:p w14:paraId="31061C97" w14:textId="77777777" w:rsidR="00363DF9" w:rsidRPr="00363DF9" w:rsidRDefault="00363DF9" w:rsidP="00363DF9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i/>
        </w:rPr>
      </w:pPr>
      <w:r w:rsidRPr="00363DF9">
        <w:rPr>
          <w:rFonts w:ascii="Times New Roman" w:hAnsi="Times New Roman" w:cs="Times New Roman"/>
          <w:i/>
        </w:rPr>
        <w:t>Czego KATEGORYCZNIE UNIKAĆ:</w:t>
      </w:r>
    </w:p>
    <w:p w14:paraId="5283A44C" w14:textId="77777777" w:rsidR="00363DF9" w:rsidRPr="00363DF9" w:rsidRDefault="00363DF9" w:rsidP="00363DF9">
      <w:pPr>
        <w:pStyle w:val="Akapitzlist"/>
        <w:numPr>
          <w:ilvl w:val="1"/>
          <w:numId w:val="2"/>
        </w:numPr>
        <w:spacing w:line="276" w:lineRule="auto"/>
        <w:jc w:val="both"/>
        <w:rPr>
          <w:rFonts w:ascii="Times New Roman" w:hAnsi="Times New Roman" w:cs="Times New Roman"/>
          <w:i/>
        </w:rPr>
      </w:pPr>
      <w:r w:rsidRPr="00363DF9">
        <w:rPr>
          <w:rFonts w:ascii="Times New Roman" w:hAnsi="Times New Roman" w:cs="Times New Roman"/>
          <w:i/>
        </w:rPr>
        <w:t>Sformułowań pracowniczych (urlop, L4, przełożony, okres wypowiedzenia jak w KP, nadgodziny).</w:t>
      </w:r>
    </w:p>
    <w:p w14:paraId="5C66085F" w14:textId="1F42D07A" w:rsidR="007304AC" w:rsidRDefault="00363DF9" w:rsidP="00363DF9">
      <w:pPr>
        <w:pStyle w:val="Akapitzlist"/>
        <w:numPr>
          <w:ilvl w:val="1"/>
          <w:numId w:val="2"/>
        </w:numPr>
        <w:spacing w:line="276" w:lineRule="auto"/>
        <w:jc w:val="both"/>
        <w:rPr>
          <w:rFonts w:ascii="Times New Roman" w:hAnsi="Times New Roman" w:cs="Times New Roman"/>
          <w:i/>
        </w:rPr>
      </w:pPr>
      <w:r w:rsidRPr="00363DF9">
        <w:rPr>
          <w:rFonts w:ascii="Times New Roman" w:hAnsi="Times New Roman" w:cs="Times New Roman"/>
          <w:i/>
        </w:rPr>
        <w:t>Sztucznych zapisów, które nie mają pokrycia w rzeczywistości.</w:t>
      </w:r>
    </w:p>
    <w:p w14:paraId="04F162BB" w14:textId="77777777" w:rsidR="007304AC" w:rsidRPr="007304AC" w:rsidRDefault="007304AC" w:rsidP="007304AC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51698308" w14:textId="24C8E797" w:rsidR="00820F47" w:rsidRDefault="00363DF9" w:rsidP="00820F47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363DF9">
        <w:rPr>
          <w:rFonts w:ascii="Times New Roman" w:hAnsi="Times New Roman" w:cs="Times New Roman"/>
          <w:b/>
          <w:bCs/>
        </w:rPr>
        <w:t>Aspekty operacyjne</w:t>
      </w:r>
      <w:r w:rsidR="00E94B28">
        <w:rPr>
          <w:rFonts w:ascii="Times New Roman" w:hAnsi="Times New Roman" w:cs="Times New Roman"/>
          <w:b/>
          <w:bCs/>
        </w:rPr>
        <w:t xml:space="preserve"> </w:t>
      </w:r>
    </w:p>
    <w:p w14:paraId="523968DB" w14:textId="77777777" w:rsidR="007304AC" w:rsidRDefault="007304AC" w:rsidP="007304AC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15B98E95" w14:textId="77777777" w:rsidR="00FC798B" w:rsidRPr="00FC798B" w:rsidRDefault="00FC798B" w:rsidP="00FC798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i/>
        </w:rPr>
      </w:pPr>
      <w:r w:rsidRPr="00FC798B">
        <w:rPr>
          <w:rFonts w:ascii="Times New Roman" w:hAnsi="Times New Roman" w:cs="Times New Roman"/>
          <w:i/>
        </w:rPr>
        <w:lastRenderedPageBreak/>
        <w:t>Audyt procesów w firmie: Jak managerowie zarządzają kontrahentami B2B (i dlaczego często generują ryzyko dla firmy?).</w:t>
      </w:r>
    </w:p>
    <w:p w14:paraId="0A9FA7A6" w14:textId="77777777" w:rsidR="00FC798B" w:rsidRPr="00FC798B" w:rsidRDefault="00FC798B" w:rsidP="00FC798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i/>
        </w:rPr>
      </w:pPr>
      <w:r w:rsidRPr="00FC798B">
        <w:rPr>
          <w:rFonts w:ascii="Times New Roman" w:hAnsi="Times New Roman" w:cs="Times New Roman"/>
          <w:i/>
        </w:rPr>
        <w:t>Samoocena (</w:t>
      </w:r>
      <w:proofErr w:type="spellStart"/>
      <w:r w:rsidRPr="00FC798B">
        <w:rPr>
          <w:rFonts w:ascii="Times New Roman" w:hAnsi="Times New Roman" w:cs="Times New Roman"/>
          <w:i/>
        </w:rPr>
        <w:t>Self-assessment</w:t>
      </w:r>
      <w:proofErr w:type="spellEnd"/>
      <w:r w:rsidRPr="00FC798B">
        <w:rPr>
          <w:rFonts w:ascii="Times New Roman" w:hAnsi="Times New Roman" w:cs="Times New Roman"/>
          <w:i/>
        </w:rPr>
        <w:t xml:space="preserve">): Wewnętrzna </w:t>
      </w:r>
      <w:proofErr w:type="spellStart"/>
      <w:r w:rsidRPr="00FC798B">
        <w:rPr>
          <w:rFonts w:ascii="Times New Roman" w:hAnsi="Times New Roman" w:cs="Times New Roman"/>
          <w:i/>
        </w:rPr>
        <w:t>check</w:t>
      </w:r>
      <w:proofErr w:type="spellEnd"/>
      <w:r w:rsidRPr="00FC798B">
        <w:rPr>
          <w:rFonts w:ascii="Times New Roman" w:hAnsi="Times New Roman" w:cs="Times New Roman"/>
          <w:i/>
        </w:rPr>
        <w:t xml:space="preserve">-lista dla HR i </w:t>
      </w:r>
      <w:proofErr w:type="spellStart"/>
      <w:r w:rsidRPr="00FC798B">
        <w:rPr>
          <w:rFonts w:ascii="Times New Roman" w:hAnsi="Times New Roman" w:cs="Times New Roman"/>
          <w:i/>
        </w:rPr>
        <w:t>Legal</w:t>
      </w:r>
      <w:proofErr w:type="spellEnd"/>
      <w:r w:rsidRPr="00FC798B">
        <w:rPr>
          <w:rFonts w:ascii="Times New Roman" w:hAnsi="Times New Roman" w:cs="Times New Roman"/>
          <w:i/>
        </w:rPr>
        <w:t xml:space="preserve"> pozwalająca wyłapać „ryzykowny B2B”.</w:t>
      </w:r>
    </w:p>
    <w:p w14:paraId="199D667F" w14:textId="29EF43A7" w:rsidR="007304AC" w:rsidRPr="00E50EBC" w:rsidRDefault="00FC798B" w:rsidP="00FC798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i/>
        </w:rPr>
      </w:pPr>
      <w:r w:rsidRPr="00FC798B">
        <w:rPr>
          <w:rFonts w:ascii="Times New Roman" w:hAnsi="Times New Roman" w:cs="Times New Roman"/>
          <w:i/>
        </w:rPr>
        <w:t xml:space="preserve">Kultura organizacyjna: Jak integrować zespół B2B ze stacjonarnym zespołem </w:t>
      </w:r>
      <w:proofErr w:type="spellStart"/>
      <w:r w:rsidRPr="00FC798B">
        <w:rPr>
          <w:rFonts w:ascii="Times New Roman" w:hAnsi="Times New Roman" w:cs="Times New Roman"/>
          <w:i/>
        </w:rPr>
        <w:t>UoP</w:t>
      </w:r>
      <w:proofErr w:type="spellEnd"/>
      <w:r w:rsidRPr="00FC798B">
        <w:rPr>
          <w:rFonts w:ascii="Times New Roman" w:hAnsi="Times New Roman" w:cs="Times New Roman"/>
          <w:i/>
        </w:rPr>
        <w:t xml:space="preserve"> bez łamania prawa (benefit, imprezy firmowe, szkolenia).</w:t>
      </w:r>
    </w:p>
    <w:p w14:paraId="17B0418F" w14:textId="77777777" w:rsidR="007304AC" w:rsidRDefault="007304AC" w:rsidP="007304AC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4E4AA94A" w14:textId="68D9B25C" w:rsidR="00363DF9" w:rsidRDefault="00FC798B" w:rsidP="00363DF9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FC798B">
        <w:rPr>
          <w:rFonts w:ascii="Times New Roman" w:hAnsi="Times New Roman" w:cs="Times New Roman"/>
          <w:b/>
          <w:bCs/>
        </w:rPr>
        <w:t>Kontrola PIP krok po kroku i ścieżka odwoławcza</w:t>
      </w:r>
      <w:r w:rsidR="00363DF9">
        <w:rPr>
          <w:rFonts w:ascii="Times New Roman" w:hAnsi="Times New Roman" w:cs="Times New Roman"/>
          <w:b/>
          <w:bCs/>
        </w:rPr>
        <w:t xml:space="preserve"> </w:t>
      </w:r>
    </w:p>
    <w:p w14:paraId="214D5C05" w14:textId="77777777" w:rsidR="00363DF9" w:rsidRDefault="00363DF9" w:rsidP="00363DF9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4D8BB1AF" w14:textId="77777777" w:rsidR="007E46F2" w:rsidRPr="007E46F2" w:rsidRDefault="007E46F2" w:rsidP="007E46F2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i/>
        </w:rPr>
      </w:pPr>
      <w:r w:rsidRPr="007E46F2">
        <w:rPr>
          <w:rFonts w:ascii="Times New Roman" w:hAnsi="Times New Roman" w:cs="Times New Roman"/>
          <w:i/>
        </w:rPr>
        <w:t>Jak wygląda kontrola PIP w zakresie B2B: Przesłuchania kontrahentów i pracowników, analiza logowań z systemów, korespondencja e-mail/</w:t>
      </w:r>
      <w:proofErr w:type="spellStart"/>
      <w:r w:rsidRPr="007E46F2">
        <w:rPr>
          <w:rFonts w:ascii="Times New Roman" w:hAnsi="Times New Roman" w:cs="Times New Roman"/>
          <w:i/>
        </w:rPr>
        <w:t>Slack</w:t>
      </w:r>
      <w:proofErr w:type="spellEnd"/>
      <w:r w:rsidRPr="007E46F2">
        <w:rPr>
          <w:rFonts w:ascii="Times New Roman" w:hAnsi="Times New Roman" w:cs="Times New Roman"/>
          <w:i/>
        </w:rPr>
        <w:t>.</w:t>
      </w:r>
    </w:p>
    <w:p w14:paraId="032C5793" w14:textId="77777777" w:rsidR="007E46F2" w:rsidRPr="007E46F2" w:rsidRDefault="007E46F2" w:rsidP="007E46F2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i/>
        </w:rPr>
      </w:pPr>
      <w:r w:rsidRPr="007E46F2">
        <w:rPr>
          <w:rFonts w:ascii="Times New Roman" w:hAnsi="Times New Roman" w:cs="Times New Roman"/>
          <w:i/>
        </w:rPr>
        <w:t>Jak przygotować organizację i kontrahentów do kontroli: Prawa i obowiązki kontrolowanego.</w:t>
      </w:r>
    </w:p>
    <w:p w14:paraId="54F82EF1" w14:textId="57286370" w:rsidR="00363DF9" w:rsidRPr="00E50EBC" w:rsidRDefault="007E46F2" w:rsidP="007E46F2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i/>
        </w:rPr>
      </w:pPr>
      <w:r w:rsidRPr="007E46F2">
        <w:rPr>
          <w:rFonts w:ascii="Times New Roman" w:hAnsi="Times New Roman" w:cs="Times New Roman"/>
          <w:i/>
        </w:rPr>
        <w:t>Ścieżka odwoławcza: Co zrobić, gdy PIP wyda decyzję nakazową? Jak skutecznie zaskarżyć decyzję do sądu.</w:t>
      </w:r>
    </w:p>
    <w:p w14:paraId="05EF743B" w14:textId="77777777" w:rsidR="00363DF9" w:rsidRPr="007304AC" w:rsidRDefault="00363DF9" w:rsidP="007304AC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7E61813B" w14:textId="77777777" w:rsidR="00820F47" w:rsidRPr="00820F47" w:rsidRDefault="00820F47" w:rsidP="00820F47">
      <w:pPr>
        <w:spacing w:line="276" w:lineRule="auto"/>
        <w:jc w:val="both"/>
        <w:rPr>
          <w:rFonts w:ascii="Times New Roman" w:eastAsia="Times New Roman" w:hAnsi="Times New Roman" w:cs="Times New Roman"/>
          <w:iCs/>
          <w:lang w:eastAsia="pl-PL"/>
        </w:rPr>
      </w:pPr>
    </w:p>
    <w:sectPr w:rsidR="00820F47" w:rsidRPr="00820F47" w:rsidSect="000122FB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740BD" w14:textId="77777777" w:rsidR="004B1AD4" w:rsidRDefault="004B1AD4" w:rsidP="00FC5573">
      <w:r>
        <w:separator/>
      </w:r>
    </w:p>
  </w:endnote>
  <w:endnote w:type="continuationSeparator" w:id="0">
    <w:p w14:paraId="44D416DF" w14:textId="77777777" w:rsidR="004B1AD4" w:rsidRDefault="004B1AD4" w:rsidP="00FC5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212E2" w14:textId="77777777" w:rsidR="004B1AD4" w:rsidRDefault="004B1AD4" w:rsidP="00FC5573">
      <w:r>
        <w:separator/>
      </w:r>
    </w:p>
  </w:footnote>
  <w:footnote w:type="continuationSeparator" w:id="0">
    <w:p w14:paraId="11410DFC" w14:textId="77777777" w:rsidR="004B1AD4" w:rsidRDefault="004B1AD4" w:rsidP="00FC5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CFB58" w14:textId="76096E99" w:rsidR="00907F40" w:rsidRDefault="00907F40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2E4EAAD" wp14:editId="1F030219">
          <wp:simplePos x="0" y="0"/>
          <wp:positionH relativeFrom="margin">
            <wp:posOffset>4202430</wp:posOffset>
          </wp:positionH>
          <wp:positionV relativeFrom="paragraph">
            <wp:posOffset>-45720</wp:posOffset>
          </wp:positionV>
          <wp:extent cx="1898650" cy="495300"/>
          <wp:effectExtent l="0" t="0" r="6350" b="0"/>
          <wp:wrapSquare wrapText="bothSides"/>
          <wp:docPr id="80335541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355410" name="Obraz 8033554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86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A41C9"/>
    <w:multiLevelType w:val="hybridMultilevel"/>
    <w:tmpl w:val="213685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DC26B8"/>
    <w:multiLevelType w:val="hybridMultilevel"/>
    <w:tmpl w:val="5B589C60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5BE78A9"/>
    <w:multiLevelType w:val="hybridMultilevel"/>
    <w:tmpl w:val="EDD80D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D84A99"/>
    <w:multiLevelType w:val="hybridMultilevel"/>
    <w:tmpl w:val="4CAE3850"/>
    <w:lvl w:ilvl="0" w:tplc="0F185ACA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  <w:color w:val="auto"/>
        <w:sz w:val="24"/>
      </w:rPr>
    </w:lvl>
    <w:lvl w:ilvl="1" w:tplc="0415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 w15:restartNumberingAfterBreak="0">
    <w:nsid w:val="53703A83"/>
    <w:multiLevelType w:val="hybridMultilevel"/>
    <w:tmpl w:val="9CE69BE2"/>
    <w:lvl w:ilvl="0" w:tplc="0F185ACA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  <w:color w:val="auto"/>
        <w:sz w:val="24"/>
      </w:rPr>
    </w:lvl>
    <w:lvl w:ilvl="1" w:tplc="0415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 w15:restartNumberingAfterBreak="0">
    <w:nsid w:val="6520465C"/>
    <w:multiLevelType w:val="hybridMultilevel"/>
    <w:tmpl w:val="D872503A"/>
    <w:lvl w:ilvl="0" w:tplc="0F185AC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  <w:sz w:val="24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33761D8"/>
    <w:multiLevelType w:val="hybridMultilevel"/>
    <w:tmpl w:val="2C1CA4CE"/>
    <w:lvl w:ilvl="0" w:tplc="0EB473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6B20E5"/>
    <w:multiLevelType w:val="hybridMultilevel"/>
    <w:tmpl w:val="3FDE88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0344485">
    <w:abstractNumId w:val="6"/>
  </w:num>
  <w:num w:numId="2" w16cid:durableId="753474238">
    <w:abstractNumId w:val="4"/>
  </w:num>
  <w:num w:numId="3" w16cid:durableId="1180656824">
    <w:abstractNumId w:val="3"/>
  </w:num>
  <w:num w:numId="4" w16cid:durableId="1290084536">
    <w:abstractNumId w:val="5"/>
  </w:num>
  <w:num w:numId="5" w16cid:durableId="900866203">
    <w:abstractNumId w:val="0"/>
  </w:num>
  <w:num w:numId="6" w16cid:durableId="741875219">
    <w:abstractNumId w:val="1"/>
  </w:num>
  <w:num w:numId="7" w16cid:durableId="928391076">
    <w:abstractNumId w:val="7"/>
  </w:num>
  <w:num w:numId="8" w16cid:durableId="8107060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41B"/>
    <w:rsid w:val="000122FB"/>
    <w:rsid w:val="000374AA"/>
    <w:rsid w:val="00037C1B"/>
    <w:rsid w:val="000B1493"/>
    <w:rsid w:val="001028D9"/>
    <w:rsid w:val="0015170F"/>
    <w:rsid w:val="002069D5"/>
    <w:rsid w:val="00227440"/>
    <w:rsid w:val="002910CA"/>
    <w:rsid w:val="00294AD6"/>
    <w:rsid w:val="002C3A80"/>
    <w:rsid w:val="002E4770"/>
    <w:rsid w:val="00345A12"/>
    <w:rsid w:val="00363DF9"/>
    <w:rsid w:val="003B5774"/>
    <w:rsid w:val="003D268F"/>
    <w:rsid w:val="003E79F5"/>
    <w:rsid w:val="00464FF5"/>
    <w:rsid w:val="004847AC"/>
    <w:rsid w:val="00485AF6"/>
    <w:rsid w:val="00486920"/>
    <w:rsid w:val="004909AF"/>
    <w:rsid w:val="004B1AD4"/>
    <w:rsid w:val="004F5B6B"/>
    <w:rsid w:val="00504809"/>
    <w:rsid w:val="005135B5"/>
    <w:rsid w:val="00586752"/>
    <w:rsid w:val="00633BEC"/>
    <w:rsid w:val="0069427C"/>
    <w:rsid w:val="00715A15"/>
    <w:rsid w:val="007304AC"/>
    <w:rsid w:val="00783CC8"/>
    <w:rsid w:val="007B040D"/>
    <w:rsid w:val="007E40E0"/>
    <w:rsid w:val="007E46F2"/>
    <w:rsid w:val="00820F47"/>
    <w:rsid w:val="00846F18"/>
    <w:rsid w:val="00907F40"/>
    <w:rsid w:val="00AD6AB3"/>
    <w:rsid w:val="00B52AA0"/>
    <w:rsid w:val="00B7047D"/>
    <w:rsid w:val="00BB3457"/>
    <w:rsid w:val="00C35939"/>
    <w:rsid w:val="00CC7FC0"/>
    <w:rsid w:val="00CF36E5"/>
    <w:rsid w:val="00E0262E"/>
    <w:rsid w:val="00E16BF0"/>
    <w:rsid w:val="00E50EBC"/>
    <w:rsid w:val="00E94B28"/>
    <w:rsid w:val="00F36CEE"/>
    <w:rsid w:val="00FA2BF0"/>
    <w:rsid w:val="00FC5573"/>
    <w:rsid w:val="00FC798B"/>
    <w:rsid w:val="00FE0773"/>
    <w:rsid w:val="00FF1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9E99EA"/>
  <w14:defaultImageDpi w14:val="32767"/>
  <w15:chartTrackingRefBased/>
  <w15:docId w15:val="{6BDF8FD8-9F4E-3E41-8218-6CDC86069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3DF9"/>
  </w:style>
  <w:style w:type="paragraph" w:styleId="Nagwek1">
    <w:name w:val="heading 1"/>
    <w:basedOn w:val="Normalny"/>
    <w:next w:val="Normalny"/>
    <w:link w:val="Nagwek1Znak"/>
    <w:uiPriority w:val="9"/>
    <w:qFormat/>
    <w:rsid w:val="00FC55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5B6B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FC55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FC55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C5573"/>
  </w:style>
  <w:style w:type="paragraph" w:styleId="Stopka">
    <w:name w:val="footer"/>
    <w:basedOn w:val="Normalny"/>
    <w:link w:val="StopkaZnak"/>
    <w:uiPriority w:val="99"/>
    <w:unhideWhenUsed/>
    <w:rsid w:val="00FC55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C5573"/>
  </w:style>
  <w:style w:type="character" w:styleId="Hipercze">
    <w:name w:val="Hyperlink"/>
    <w:basedOn w:val="Domylnaczcionkaakapitu"/>
    <w:uiPriority w:val="99"/>
    <w:unhideWhenUsed/>
    <w:rsid w:val="00633BE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33B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2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1388</TotalTime>
  <Pages>1</Pages>
  <Words>350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pakietu Microsoft Office</dc:creator>
  <cp:keywords/>
  <dc:description/>
  <cp:lastModifiedBy>Agata Pilarska</cp:lastModifiedBy>
  <cp:revision>31</cp:revision>
  <dcterms:created xsi:type="dcterms:W3CDTF">2019-05-23T12:00:00Z</dcterms:created>
  <dcterms:modified xsi:type="dcterms:W3CDTF">2026-08-04T10:52:00Z</dcterms:modified>
</cp:coreProperties>
</file>